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DAC3" w14:textId="77777777" w:rsidR="00B42C22" w:rsidRDefault="00B42C22">
      <w:pPr>
        <w:pStyle w:val="Standard"/>
      </w:pPr>
    </w:p>
    <w:p w14:paraId="7E643158" w14:textId="77777777" w:rsidR="00B42C22" w:rsidRDefault="004067E9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DICHIARAZIONE</w:t>
      </w:r>
    </w:p>
    <w:p w14:paraId="64C5FA3F" w14:textId="77777777" w:rsidR="00B42C22" w:rsidRDefault="004067E9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in tema di incompatibilità degli incarichi e di assenza di conflitto di interessi resa dal personale assegnato nell’ambito dell’attuazione del Programma Regionale Fondo sociale europeo Plus 2021/2027 della Regione autonoma Valle d’Aosta” (PR FSE+ Valle d’Aosta)</w:t>
      </w:r>
    </w:p>
    <w:p w14:paraId="1A1E37B4" w14:textId="77777777" w:rsidR="00B42C22" w:rsidRDefault="004067E9">
      <w:pPr>
        <w:pStyle w:val="Standard"/>
        <w:jc w:val="center"/>
      </w:pPr>
      <w:r>
        <w:rPr>
          <w:rFonts w:ascii="Times New Roman" w:hAnsi="Times New Roman" w:cs="Times New Roman"/>
          <w:i/>
          <w:iCs/>
          <w:sz w:val="20"/>
          <w:szCs w:val="20"/>
        </w:rPr>
        <w:t>(resa ai sensi degli artt. 46 e 47 e 38 del d.P.R. 28 dicembre 2000, n. 445)</w:t>
      </w:r>
    </w:p>
    <w:p w14:paraId="144BAEB0" w14:textId="77777777" w:rsidR="00B42C22" w:rsidRDefault="00B42C22">
      <w:pPr>
        <w:pStyle w:val="Standard"/>
        <w:rPr>
          <w:rFonts w:ascii="Times New Roman" w:hAnsi="Times New Roman" w:cs="Times New Roman"/>
          <w:b/>
          <w:sz w:val="22"/>
        </w:rPr>
      </w:pPr>
    </w:p>
    <w:p w14:paraId="3679558D" w14:textId="77777777" w:rsidR="00B42C22" w:rsidRDefault="00B42C22">
      <w:pPr>
        <w:pStyle w:val="Standard"/>
        <w:rPr>
          <w:rFonts w:ascii="Times New Roman" w:hAnsi="Times New Roman" w:cs="Times New Roman"/>
          <w:b/>
          <w:sz w:val="22"/>
        </w:rPr>
      </w:pPr>
    </w:p>
    <w:p w14:paraId="67D3E43A" w14:textId="77777777" w:rsidR="00B42C22" w:rsidRDefault="00B42C22">
      <w:pPr>
        <w:pStyle w:val="Standard"/>
        <w:rPr>
          <w:rFonts w:ascii="Times New Roman" w:hAnsi="Times New Roman" w:cs="Times New Roman"/>
          <w:bCs/>
          <w:i/>
          <w:iCs/>
          <w:sz w:val="22"/>
        </w:rPr>
      </w:pPr>
    </w:p>
    <w:p w14:paraId="46E77563" w14:textId="77777777" w:rsidR="00B42C22" w:rsidRDefault="004067E9">
      <w:pPr>
        <w:jc w:val="both"/>
      </w:pPr>
      <w:r>
        <w:rPr>
          <w:rFonts w:ascii="Times New Roman" w:hAnsi="Times New Roman" w:cs="Times New Roman"/>
        </w:rPr>
        <w:t>Il/</w:t>
      </w:r>
      <w:proofErr w:type="gramStart"/>
      <w:r>
        <w:rPr>
          <w:rFonts w:ascii="Times New Roman" w:hAnsi="Times New Roman" w:cs="Times New Roman"/>
        </w:rPr>
        <w:t>La(</w:t>
      </w:r>
      <w:proofErr w:type="gramEnd"/>
      <w:r>
        <w:rPr>
          <w:rFonts w:ascii="Times New Roman" w:hAnsi="Times New Roman" w:cs="Times New Roman"/>
        </w:rPr>
        <w:t>*) sottoscritto/a(*) ______________________________, nato/a(*) _______________________, il ______________, in servizio presso il/la______________________________, con riferimento alle attività svolte nell’ambito del Programma Regionale Fondo sociale europeo Plus 2021/2027 della Regione autonoma Valle d’Aosta:</w:t>
      </w:r>
    </w:p>
    <w:p w14:paraId="388F3B85" w14:textId="77777777" w:rsidR="00B42C22" w:rsidRDefault="00B42C22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69EB2E03" w14:textId="77777777" w:rsidR="00B42C22" w:rsidRDefault="004067E9">
      <w:pPr>
        <w:pStyle w:val="Paragrafoelenco"/>
        <w:numPr>
          <w:ilvl w:val="0"/>
          <w:numId w:val="38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visto il Programma Regionale Fondo sociale europeo Plus 2021/2027 </w:t>
      </w:r>
      <w:bookmarkStart w:id="0" w:name="_Hlk140832536"/>
      <w:r>
        <w:rPr>
          <w:rFonts w:ascii="Times New Roman" w:hAnsi="Times New Roman"/>
          <w:sz w:val="24"/>
          <w:szCs w:val="24"/>
        </w:rPr>
        <w:t>della Regione autonoma</w:t>
      </w:r>
      <w:bookmarkEnd w:id="0"/>
      <w:r>
        <w:rPr>
          <w:rFonts w:ascii="Times New Roman" w:hAnsi="Times New Roman"/>
          <w:sz w:val="24"/>
          <w:szCs w:val="24"/>
        </w:rPr>
        <w:t xml:space="preserve"> Valle d’Aosta, approvato con decisione della Commissione europea </w:t>
      </w:r>
      <w:proofErr w:type="gramStart"/>
      <w:r>
        <w:rPr>
          <w:rFonts w:ascii="Times New Roman" w:hAnsi="Times New Roman"/>
          <w:sz w:val="24"/>
          <w:szCs w:val="24"/>
        </w:rPr>
        <w:t>C(</w:t>
      </w:r>
      <w:proofErr w:type="gramEnd"/>
      <w:r>
        <w:rPr>
          <w:rFonts w:ascii="Times New Roman" w:hAnsi="Times New Roman"/>
          <w:sz w:val="24"/>
          <w:szCs w:val="24"/>
        </w:rPr>
        <w:t xml:space="preserve">2022) 7541 </w:t>
      </w:r>
      <w:r>
        <w:rPr>
          <w:rFonts w:ascii="Times New Roman" w:hAnsi="Times New Roman"/>
          <w:i/>
          <w:iCs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del 19 ottobre 2022 (di seguito, PR FSE+);</w:t>
      </w:r>
    </w:p>
    <w:p w14:paraId="7E511AFA" w14:textId="7903668A" w:rsidR="00B42C22" w:rsidRPr="006651B9" w:rsidRDefault="006651B9" w:rsidP="006651B9">
      <w:pPr>
        <w:pStyle w:val="Paragrafoelenco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3940D7">
        <w:rPr>
          <w:rFonts w:ascii="Times New Roman" w:hAnsi="Times New Roman"/>
          <w:sz w:val="24"/>
          <w:szCs w:val="24"/>
        </w:rPr>
        <w:t xml:space="preserve">visto il </w:t>
      </w:r>
      <w:r w:rsidRPr="000305E6">
        <w:rPr>
          <w:rFonts w:ascii="Times New Roman" w:hAnsi="Times New Roman"/>
          <w:sz w:val="24"/>
          <w:szCs w:val="24"/>
        </w:rPr>
        <w:t>Regolamento (UE, Euratom) 2024/2509 del Parlamento europeo e del Consiglio del 23 settembre 2024 che stabilisce le regole finanziarie applicabili al bilancio generale dell’Unione e che abroga il precedente regolamento (UE, Euratom) 2018/1046</w:t>
      </w:r>
      <w:r>
        <w:rPr>
          <w:rFonts w:ascii="Times New Roman" w:hAnsi="Times New Roman"/>
          <w:sz w:val="24"/>
          <w:szCs w:val="24"/>
        </w:rPr>
        <w:t xml:space="preserve"> e nello specifico, l’art. 61</w:t>
      </w:r>
      <w:r w:rsidRPr="003940D7">
        <w:rPr>
          <w:rFonts w:ascii="Times New Roman" w:hAnsi="Times New Roman"/>
          <w:sz w:val="24"/>
          <w:szCs w:val="24"/>
        </w:rPr>
        <w:t>;</w:t>
      </w:r>
    </w:p>
    <w:p w14:paraId="0884EC9F" w14:textId="77777777" w:rsidR="00B42C22" w:rsidRDefault="004067E9">
      <w:pPr>
        <w:pStyle w:val="Paragrafoelenco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vista la Comunicazione della Commissione 2021/C 121/01 recante “Orientamenti sulla prevenzione e sulla gestione dei conflitti d’interessi a norma del regolamento finanziario;</w:t>
      </w:r>
    </w:p>
    <w:p w14:paraId="6E7656B7" w14:textId="77777777" w:rsidR="00B42C22" w:rsidRDefault="004067E9">
      <w:pPr>
        <w:pStyle w:val="Paragrafoelenco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vista la L. 7 agosto 1990, n. 241 “Nuove norme sul procedimento amministrativo” e, in particolare, l’art. 6bis (introdotto dall'art. 1, comma 41, L. 6 novembre 2012, n. 190);</w:t>
      </w:r>
    </w:p>
    <w:p w14:paraId="4CE9AB35" w14:textId="77777777" w:rsidR="00B42C22" w:rsidRDefault="004067E9">
      <w:pPr>
        <w:pStyle w:val="Paragrafoelenco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visto il d.lgs. 30 marzo 2001, n. 165 recante “Norme generali sull'ordinamento del lavoro alle dipendenze delle amministrazioni pubbliche” e, in particolare, l’art. 53;</w:t>
      </w:r>
    </w:p>
    <w:p w14:paraId="3B59EC7E" w14:textId="77777777" w:rsidR="00B42C22" w:rsidRDefault="004067E9">
      <w:pPr>
        <w:pStyle w:val="Paragrafoelenco"/>
        <w:numPr>
          <w:ilvl w:val="0"/>
          <w:numId w:val="38"/>
        </w:numPr>
        <w:jc w:val="both"/>
      </w:pPr>
      <w:r>
        <w:rPr>
          <w:rFonts w:ascii="Times New Roman" w:hAnsi="Times New Roman"/>
          <w:sz w:val="24"/>
          <w:szCs w:val="24"/>
        </w:rPr>
        <w:t>vista la L. 190/2012 “Disposizioni per la prevenzione e la repressione della corruzione e dell'illegalità nella pubblica amministrazione”, modificata dal d.lgs. 25 maggio 2016, n. 97 (</w:t>
      </w:r>
      <w:r>
        <w:rPr>
          <w:rFonts w:ascii="Times New Roman" w:hAnsi="Times New Roman"/>
          <w:iCs/>
          <w:sz w:val="24"/>
          <w:szCs w:val="24"/>
        </w:rPr>
        <w:t>Revisione e semplificazione delle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disposizioni in materia di prevenzione della corruzione, pubblicità e trasparenza, correttivo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della legge 6 novembre 2012, n. 190 e del decreto legislativo 14 marzo 2013, n. 33, ai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sensi dell’articolo 7 della legge 7 agosto 2015, n. 124, in materia di riorganizzazione delle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amministrazioni pubbliche</w:t>
      </w:r>
      <w:r>
        <w:rPr>
          <w:rFonts w:ascii="Times New Roman" w:hAnsi="Times New Roman"/>
          <w:sz w:val="24"/>
          <w:szCs w:val="24"/>
        </w:rPr>
        <w:t>);</w:t>
      </w:r>
    </w:p>
    <w:p w14:paraId="03D26842" w14:textId="77777777" w:rsidR="00B42C22" w:rsidRDefault="004067E9">
      <w:pPr>
        <w:pStyle w:val="Paragrafoelenco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visto il d.lgs. 8 aprile 2013, n. 39 contenente “Disposizioni in materia di inconferibilità e incompatibilità di incarichi presso le pubbliche amministrazioni e presso gli enti privati in controllo pubblico, a norma dell'art. 1, commi 49 e 50, della legge 6 novembre 2012, n. 190”;</w:t>
      </w:r>
    </w:p>
    <w:p w14:paraId="39F64E38" w14:textId="77777777" w:rsidR="00B42C22" w:rsidRDefault="004067E9">
      <w:pPr>
        <w:pStyle w:val="Paragrafoelenco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visto il d.P.R. 16 aprile 2013, n. 62 “Regolamento recante codice di comportamento dei dipendenti pubblici, a norma dell'articolo 54 del decreto legislativo 30 marzo 2001, n. 165”;</w:t>
      </w:r>
    </w:p>
    <w:p w14:paraId="3923948F" w14:textId="77777777" w:rsidR="00B42C22" w:rsidRDefault="004067E9">
      <w:pPr>
        <w:pStyle w:val="Paragrafoelenco"/>
        <w:numPr>
          <w:ilvl w:val="0"/>
          <w:numId w:val="38"/>
        </w:numPr>
        <w:jc w:val="both"/>
      </w:pPr>
      <w:r>
        <w:rPr>
          <w:rFonts w:ascii="Times New Roman" w:hAnsi="Times New Roman"/>
          <w:sz w:val="24"/>
          <w:szCs w:val="24"/>
        </w:rPr>
        <w:t>vista la legge regionale 23 luglio 2010, n. 22 recante “Nuova disciplina dell’organizzazione dell’Amministrazione regionale e degli enti del comparto unico della Valle d’Aosta. Abrogazione della legge regionale 23 ottobre 1995, n. 45, e di altre leggi in materia di personale” e, in particolare, l’art. 69 ‘Codice di comportamento’ e gli artt. 70, 71 e 72 in materia di attività extraimpiego;</w:t>
      </w:r>
    </w:p>
    <w:p w14:paraId="2507001A" w14:textId="77777777" w:rsidR="00B42C22" w:rsidRDefault="004067E9">
      <w:pPr>
        <w:pStyle w:val="Paragrafoelenco"/>
        <w:numPr>
          <w:ilvl w:val="0"/>
          <w:numId w:val="38"/>
        </w:numPr>
        <w:jc w:val="both"/>
      </w:pPr>
      <w:r>
        <w:rPr>
          <w:rFonts w:ascii="Times New Roman" w:hAnsi="Times New Roman"/>
          <w:sz w:val="24"/>
          <w:szCs w:val="24"/>
        </w:rPr>
        <w:t>vista la circolare 50/2020 della Regione autonoma Valle d’Aosta concernente “Disposizioni in materia di attività extraimpiego secondo la disciplina di cui agli artt. 70,71 e 72 della l.r 22/2010. Revoca delle Circolari n. 18/2011 e n. 28/2012.”;</w:t>
      </w:r>
    </w:p>
    <w:p w14:paraId="189BAA3B" w14:textId="77777777" w:rsidR="00B42C22" w:rsidRDefault="004067E9">
      <w:pPr>
        <w:pStyle w:val="Paragrafoelenco"/>
        <w:numPr>
          <w:ilvl w:val="0"/>
          <w:numId w:val="38"/>
        </w:numPr>
        <w:jc w:val="both"/>
      </w:pPr>
      <w:r>
        <w:rPr>
          <w:rFonts w:ascii="Times New Roman" w:hAnsi="Times New Roman"/>
          <w:sz w:val="24"/>
          <w:szCs w:val="24"/>
        </w:rPr>
        <w:lastRenderedPageBreak/>
        <w:t>vista la deliberazione della Giunta regionale n. 1378 del 27 novembre 2023 con cui è stato approvato il Codice di comportamento dei dipendenti degli enti di cui all’art.1, comma 1 della l.r. 22/2010;</w:t>
      </w:r>
    </w:p>
    <w:p w14:paraId="26DE6989" w14:textId="77777777" w:rsidR="00B42C22" w:rsidRDefault="00B42C22">
      <w:pPr>
        <w:pStyle w:val="Standard"/>
        <w:rPr>
          <w:rFonts w:ascii="Times New Roman" w:hAnsi="Times New Roman" w:cs="Times New Roman"/>
          <w:bCs/>
          <w:i/>
          <w:iCs/>
          <w:sz w:val="22"/>
        </w:rPr>
      </w:pPr>
    </w:p>
    <w:p w14:paraId="3D8366EA" w14:textId="77777777" w:rsidR="00B42C22" w:rsidRDefault="004067E9">
      <w:pPr>
        <w:pStyle w:val="Standard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ai sensi dell’art. 6bis della L. 241/1990 e del Codice di Comportamento adottato dalla Giunta regionale, che trova applicazione, per quanto compatibile, anche nei confronti dei consulenti, dei collaboratori esterni e dei professionisti che collaborano con la Regione autonoma Valle d’Aosta, e consapevole delle sanzioni penali, in caso di dichiarazioni mendaci, ai sensi e per gli effetti dell’art. 76 del d.P.R. 445/2000, nonché dell’art. 39 della l.r. n.19/2007, sotto la propria responsabilità,</w:t>
      </w:r>
    </w:p>
    <w:p w14:paraId="750FF70C" w14:textId="77777777" w:rsidR="00B42C22" w:rsidRDefault="004067E9">
      <w:pPr>
        <w:pStyle w:val="Standard"/>
        <w:spacing w:before="240" w:after="240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DICHIARA</w:t>
      </w:r>
    </w:p>
    <w:p w14:paraId="0085719D" w14:textId="77777777" w:rsidR="00B42C22" w:rsidRDefault="004067E9">
      <w:pPr>
        <w:pStyle w:val="Standard"/>
        <w:jc w:val="both"/>
      </w:pPr>
      <w:r>
        <w:rPr>
          <w:rFonts w:ascii="Times New Roman" w:eastAsia="Calibri" w:hAnsi="Times New Roman" w:cs="Times New Roman"/>
          <w:kern w:val="0"/>
          <w:lang w:eastAsia="en-US" w:bidi="ar-SA"/>
        </w:rPr>
        <w:t>a) di non trovarsi, in prima persona, ovvero tramite parenti o affini entro il secondo grado, il/la coniuge o il/la convivente, per quanto gli/le è dato sapere, in condizione, anche potenziale, di conflitto di interessi con le attività che gli/le vengono affidate;</w:t>
      </w:r>
    </w:p>
    <w:p w14:paraId="1A643707" w14:textId="77777777" w:rsidR="00B42C22" w:rsidRDefault="004067E9">
      <w:pPr>
        <w:pStyle w:val="Standard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b) l’assenza di conflitto di interessi per attività svolta o per incarichi assunti, in prima persona, ovvero tramite parenti o affini entro il secondo grado, il/la coniuge o il/la convivente, per quanto gli/le è dato sapere, nei tre anni precedenti alla data odierna con riferimento al PR FSE+, ovvero, di non aver svolto nell’ultimo triennio funzioni amministrative e/o di consulenza per conto di beneficiari di contributi a valere sul suddetto Programma;</w:t>
      </w:r>
    </w:p>
    <w:p w14:paraId="119FDAB8" w14:textId="77777777" w:rsidR="00B42C22" w:rsidRDefault="004067E9">
      <w:pPr>
        <w:pStyle w:val="Standard"/>
        <w:jc w:val="both"/>
      </w:pPr>
      <w:r>
        <w:rPr>
          <w:rFonts w:ascii="Times New Roman" w:eastAsia="Calibri" w:hAnsi="Times New Roman" w:cs="Times New Roman"/>
          <w:kern w:val="0"/>
          <w:lang w:eastAsia="en-US" w:bidi="ar-SA"/>
        </w:rPr>
        <w:t>c) che, per quanto gli/le consta, non esistono circostanze o fatti – passati o suscettibili di insorgere nel prossimo futuro – che potrebbero mettere in discussione la sua indipendenza agli occhi di una qualsiasi delle parti.</w:t>
      </w:r>
    </w:p>
    <w:p w14:paraId="3C967549" w14:textId="77777777" w:rsidR="00B42C22" w:rsidRDefault="00B42C22">
      <w:pPr>
        <w:pStyle w:val="Standard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731E48B2" w14:textId="77777777" w:rsidR="00B42C22" w:rsidRDefault="004067E9">
      <w:pPr>
        <w:pStyle w:val="Standard"/>
        <w:jc w:val="both"/>
      </w:pPr>
      <w:r>
        <w:rPr>
          <w:rFonts w:ascii="Times New Roman" w:eastAsia="Calibri" w:hAnsi="Times New Roman" w:cs="Times New Roman"/>
          <w:kern w:val="0"/>
          <w:lang w:eastAsia="en-US" w:bidi="ar-SA"/>
        </w:rPr>
        <w:t>Il/</w:t>
      </w:r>
      <w:proofErr w:type="gramStart"/>
      <w:r>
        <w:rPr>
          <w:rFonts w:ascii="Times New Roman" w:eastAsia="Calibri" w:hAnsi="Times New Roman" w:cs="Times New Roman"/>
          <w:kern w:val="0"/>
          <w:lang w:eastAsia="en-US" w:bidi="ar-SA"/>
        </w:rPr>
        <w:t>La(</w:t>
      </w:r>
      <w:proofErr w:type="gramEnd"/>
      <w:r>
        <w:rPr>
          <w:rFonts w:ascii="Times New Roman" w:eastAsia="Calibri" w:hAnsi="Times New Roman" w:cs="Times New Roman"/>
          <w:kern w:val="0"/>
          <w:lang w:eastAsia="en-US" w:bidi="ar-SA"/>
        </w:rPr>
        <w:t>*) sottoscritto/a(*) si impegna, altresì, a informare immediatamente l’Amministrazione di appartenenza di ogni evento che modifichi la presente dichiarazione rendendola, in tutto o in parte, non più vera. Inoltre, il/</w:t>
      </w:r>
      <w:proofErr w:type="gramStart"/>
      <w:r>
        <w:rPr>
          <w:rFonts w:ascii="Times New Roman" w:eastAsia="Calibri" w:hAnsi="Times New Roman" w:cs="Times New Roman"/>
          <w:kern w:val="0"/>
          <w:lang w:eastAsia="en-US" w:bidi="ar-SA"/>
        </w:rPr>
        <w:t>la(</w:t>
      </w:r>
      <w:proofErr w:type="gramEnd"/>
      <w:r>
        <w:rPr>
          <w:rFonts w:ascii="Times New Roman" w:eastAsia="Calibri" w:hAnsi="Times New Roman" w:cs="Times New Roman"/>
          <w:kern w:val="0"/>
          <w:lang w:eastAsia="en-US" w:bidi="ar-SA"/>
        </w:rPr>
        <w:t>*) sottoscritto/a(*) si impegna, qualora dovessero presentarsi situazioni di conflitto di interesse o causa di incompatibilità nel corso dell’esercizio della propria funzione, a segnalare al responsabile del procedimento e, nelle more della decisione di questi, ad astenersi dal partecipare all’adozione di decisioni o ad attività che possano coinvolgere interessi propri, ovvero del/la coniuge, parenti e affini entro il secondo grado.</w:t>
      </w:r>
    </w:p>
    <w:p w14:paraId="6BD7CEA5" w14:textId="77777777" w:rsidR="00B42C22" w:rsidRDefault="00B42C22">
      <w:pPr>
        <w:pStyle w:val="Standard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511F850E" w14:textId="77777777" w:rsidR="00B42C22" w:rsidRDefault="004067E9">
      <w:pPr>
        <w:pStyle w:val="Standard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Il/</w:t>
      </w:r>
      <w:proofErr w:type="gramStart"/>
      <w:r>
        <w:rPr>
          <w:rFonts w:ascii="Times New Roman" w:eastAsia="Calibri" w:hAnsi="Times New Roman" w:cs="Times New Roman"/>
          <w:kern w:val="0"/>
          <w:lang w:eastAsia="en-US" w:bidi="ar-SA"/>
        </w:rPr>
        <w:t>La(</w:t>
      </w:r>
      <w:proofErr w:type="gramEnd"/>
      <w:r>
        <w:rPr>
          <w:rFonts w:ascii="Times New Roman" w:eastAsia="Calibri" w:hAnsi="Times New Roman" w:cs="Times New Roman"/>
          <w:kern w:val="0"/>
          <w:lang w:eastAsia="en-US" w:bidi="ar-SA"/>
        </w:rPr>
        <w:t>*) sottoscritto/a(*) dichiara, inoltre, di essere informato/a(*) che i dati personali contenuti nella presente dichiarazione saranno trattati nell’ambito del procedimento per il quale la presente dichiarazione viene resa.</w:t>
      </w:r>
    </w:p>
    <w:p w14:paraId="41404054" w14:textId="77777777" w:rsidR="00B42C22" w:rsidRDefault="00B42C22">
      <w:pPr>
        <w:pStyle w:val="Standard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58F0B2FA" w14:textId="77777777" w:rsidR="00B42C22" w:rsidRDefault="004067E9">
      <w:pPr>
        <w:pStyle w:val="Standard"/>
        <w:jc w:val="both"/>
      </w:pPr>
      <w:r>
        <w:rPr>
          <w:rFonts w:ascii="Times New Roman" w:eastAsia="Calibri" w:hAnsi="Times New Roman" w:cs="Times New Roman"/>
          <w:kern w:val="0"/>
          <w:lang w:eastAsia="en-US" w:bidi="ar-SA"/>
        </w:rPr>
        <w:t>*</w:t>
      </w:r>
      <w:r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>barrare l’ipotesi che non ricorre</w:t>
      </w:r>
    </w:p>
    <w:p w14:paraId="250F0035" w14:textId="77777777" w:rsidR="00B42C22" w:rsidRDefault="00B42C22">
      <w:pPr>
        <w:pStyle w:val="Standard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4B87AD7F" w14:textId="77777777" w:rsidR="00B42C22" w:rsidRDefault="00B42C22">
      <w:pPr>
        <w:pStyle w:val="Standard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2F17BC7A" w14:textId="77777777" w:rsidR="00B42C22" w:rsidRDefault="004067E9">
      <w:pPr>
        <w:pStyle w:val="Standard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Data______________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  <w:t>FIRMA___________________</w:t>
      </w:r>
    </w:p>
    <w:p w14:paraId="3CA657E8" w14:textId="77777777" w:rsidR="00B42C22" w:rsidRDefault="00B42C22">
      <w:pPr>
        <w:pStyle w:val="Standard"/>
        <w:jc w:val="center"/>
        <w:rPr>
          <w:rFonts w:ascii="Times New Roman" w:hAnsi="Times New Roman" w:cs="Times New Roman"/>
          <w:sz w:val="22"/>
        </w:rPr>
      </w:pPr>
    </w:p>
    <w:p w14:paraId="548732FA" w14:textId="77777777" w:rsidR="00B42C22" w:rsidRDefault="00B42C22">
      <w:pPr>
        <w:pStyle w:val="Standard"/>
        <w:jc w:val="both"/>
        <w:rPr>
          <w:rFonts w:ascii="Times New Roman" w:hAnsi="Times New Roman" w:cs="Times New Roman"/>
          <w:b/>
          <w:sz w:val="22"/>
        </w:rPr>
      </w:pPr>
    </w:p>
    <w:p w14:paraId="61BB7689" w14:textId="77777777" w:rsidR="00B42C22" w:rsidRDefault="00B42C22">
      <w:pPr>
        <w:pStyle w:val="Standard"/>
        <w:rPr>
          <w:rFonts w:ascii="Times New Roman" w:hAnsi="Times New Roman" w:cs="Times New Roman"/>
          <w:b/>
          <w:sz w:val="22"/>
        </w:rPr>
      </w:pPr>
    </w:p>
    <w:p w14:paraId="6FBF5E2D" w14:textId="77777777" w:rsidR="00B42C22" w:rsidRDefault="004067E9">
      <w:pPr>
        <w:pStyle w:val="Standard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</w:t>
      </w:r>
    </w:p>
    <w:p w14:paraId="1B8CE095" w14:textId="77777777" w:rsidR="00B42C22" w:rsidRDefault="004067E9">
      <w:pPr>
        <w:pStyle w:val="Standard"/>
        <w:jc w:val="both"/>
      </w:pPr>
      <w:r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  <w:t>Le dichiarazioni di cui sopra, presentate per via telematica, sono sottoscritte con una delle modalità previste all’articolo 65 del decreto legislativo 7 marzo 2005, n. 82 (Codice dell’amministrazione digitale). In caso di firma autografa, allegare la copia fotostatica non autenticata di un documento di identità del sottoscrittore.</w:t>
      </w:r>
    </w:p>
    <w:sectPr w:rsidR="00B42C22">
      <w:headerReference w:type="default" r:id="rId7"/>
      <w:footerReference w:type="default" r:id="rId8"/>
      <w:endnotePr>
        <w:numFmt w:val="decimal"/>
      </w:endnotePr>
      <w:pgSz w:w="11906" w:h="16838"/>
      <w:pgMar w:top="567" w:right="850" w:bottom="1126" w:left="850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CC1C" w14:textId="77777777" w:rsidR="001D0AF6" w:rsidRDefault="004067E9">
      <w:r>
        <w:separator/>
      </w:r>
    </w:p>
  </w:endnote>
  <w:endnote w:type="continuationSeparator" w:id="0">
    <w:p w14:paraId="61BD738F" w14:textId="77777777" w:rsidR="001D0AF6" w:rsidRDefault="0040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6C55" w14:textId="77777777" w:rsidR="00460EC7" w:rsidRDefault="004067E9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6DE7" w14:textId="77777777" w:rsidR="001D0AF6" w:rsidRDefault="004067E9">
      <w:r>
        <w:rPr>
          <w:color w:val="000000"/>
        </w:rPr>
        <w:separator/>
      </w:r>
    </w:p>
  </w:footnote>
  <w:footnote w:type="continuationSeparator" w:id="0">
    <w:p w14:paraId="1C731364" w14:textId="77777777" w:rsidR="001D0AF6" w:rsidRDefault="00406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1E91" w14:textId="77777777" w:rsidR="00460EC7" w:rsidRDefault="004067E9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D9FB79" wp14:editId="109138BC">
          <wp:simplePos x="0" y="0"/>
          <wp:positionH relativeFrom="margin">
            <wp:align>left</wp:align>
          </wp:positionH>
          <wp:positionV relativeFrom="paragraph">
            <wp:posOffset>-365760</wp:posOffset>
          </wp:positionV>
          <wp:extent cx="6394316" cy="1058043"/>
          <wp:effectExtent l="0" t="0" r="6484" b="8757"/>
          <wp:wrapSquare wrapText="bothSides"/>
          <wp:docPr id="1" name="Immagine 14" descr="Immagine che contiene testo, schermata, Carattere, line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94316" cy="10580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DB4"/>
    <w:multiLevelType w:val="multilevel"/>
    <w:tmpl w:val="67C430B0"/>
    <w:styleLink w:val="WW8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0385248A"/>
    <w:multiLevelType w:val="multilevel"/>
    <w:tmpl w:val="D0A6E96A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7DC363C"/>
    <w:multiLevelType w:val="multilevel"/>
    <w:tmpl w:val="9A82FF36"/>
    <w:styleLink w:val="WW8Num14"/>
    <w:lvl w:ilvl="0">
      <w:start w:val="1"/>
      <w:numFmt w:val="decimal"/>
      <w:pStyle w:val="Footnote"/>
      <w:lvlText w:val="%1."/>
      <w:lvlJc w:val="left"/>
      <w:pPr>
        <w:ind w:left="170" w:hanging="170"/>
      </w:pPr>
      <w:rPr>
        <w:rFonts w:ascii="Times New Roman" w:eastAsia="SimSun" w:hAnsi="Times New Roman" w:cs="Times New Roman"/>
        <w:b/>
        <w:bCs/>
        <w:i/>
        <w:iCs/>
        <w:kern w:val="3"/>
        <w:sz w:val="20"/>
        <w:szCs w:val="20"/>
        <w:lang w:val="it-IT" w:eastAsia="zh-CN" w:bidi="hi-IN"/>
      </w:rPr>
    </w:lvl>
    <w:lvl w:ilvl="1">
      <w:start w:val="1"/>
      <w:numFmt w:val="decimal"/>
      <w:lvlText w:val="%2."/>
      <w:lvlJc w:val="left"/>
      <w:pPr>
        <w:ind w:left="340" w:hanging="170"/>
      </w:pPr>
    </w:lvl>
    <w:lvl w:ilvl="2">
      <w:start w:val="1"/>
      <w:numFmt w:val="decimal"/>
      <w:lvlText w:val="%3."/>
      <w:lvlJc w:val="left"/>
      <w:pPr>
        <w:ind w:left="510" w:hanging="170"/>
      </w:pPr>
    </w:lvl>
    <w:lvl w:ilvl="3">
      <w:start w:val="1"/>
      <w:numFmt w:val="decimal"/>
      <w:lvlText w:val="%4."/>
      <w:lvlJc w:val="left"/>
      <w:pPr>
        <w:ind w:left="680" w:hanging="170"/>
      </w:pPr>
    </w:lvl>
    <w:lvl w:ilvl="4">
      <w:start w:val="1"/>
      <w:numFmt w:val="decimal"/>
      <w:lvlText w:val="%5."/>
      <w:lvlJc w:val="left"/>
      <w:pPr>
        <w:ind w:left="850" w:hanging="170"/>
      </w:pPr>
    </w:lvl>
    <w:lvl w:ilvl="5">
      <w:start w:val="1"/>
      <w:numFmt w:val="decimal"/>
      <w:lvlText w:val="%6."/>
      <w:lvlJc w:val="left"/>
      <w:pPr>
        <w:ind w:left="1020" w:hanging="170"/>
      </w:pPr>
    </w:lvl>
    <w:lvl w:ilvl="6">
      <w:start w:val="1"/>
      <w:numFmt w:val="decimal"/>
      <w:lvlText w:val="%7."/>
      <w:lvlJc w:val="left"/>
      <w:pPr>
        <w:ind w:left="1191" w:hanging="170"/>
      </w:pPr>
    </w:lvl>
    <w:lvl w:ilvl="7">
      <w:start w:val="1"/>
      <w:numFmt w:val="decimal"/>
      <w:lvlText w:val="%8."/>
      <w:lvlJc w:val="left"/>
      <w:pPr>
        <w:ind w:left="1361" w:hanging="170"/>
      </w:pPr>
    </w:lvl>
    <w:lvl w:ilvl="8">
      <w:start w:val="1"/>
      <w:numFmt w:val="decimal"/>
      <w:lvlText w:val="%9."/>
      <w:lvlJc w:val="left"/>
      <w:pPr>
        <w:ind w:left="1531" w:hanging="170"/>
      </w:pPr>
    </w:lvl>
  </w:abstractNum>
  <w:abstractNum w:abstractNumId="3" w15:restartNumberingAfterBreak="0">
    <w:nsid w:val="0A9D60DD"/>
    <w:multiLevelType w:val="multilevel"/>
    <w:tmpl w:val="716828F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0831598"/>
    <w:multiLevelType w:val="multilevel"/>
    <w:tmpl w:val="1616C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08C02C4"/>
    <w:multiLevelType w:val="multilevel"/>
    <w:tmpl w:val="A3103BE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1564806"/>
    <w:multiLevelType w:val="multilevel"/>
    <w:tmpl w:val="9CC48DB0"/>
    <w:styleLink w:val="WW8Num1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b w:val="0"/>
        <w:bCs w:val="0"/>
        <w:kern w:val="3"/>
        <w:sz w:val="24"/>
        <w:szCs w:val="24"/>
        <w:lang w:val="it-IT" w:eastAsia="zh-CN" w:bidi="hi-IN"/>
      </w:rPr>
    </w:lvl>
    <w:lvl w:ilvl="1">
      <w:numFmt w:val="bullet"/>
      <w:lvlText w:val=""/>
      <w:lvlJc w:val="left"/>
      <w:pPr>
        <w:ind w:left="1080" w:hanging="360"/>
      </w:pPr>
      <w:rPr>
        <w:rFonts w:ascii="Wingdings" w:hAnsi="Wingdings" w:cs="Wingdings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168A6989"/>
    <w:multiLevelType w:val="multilevel"/>
    <w:tmpl w:val="E760E2D2"/>
    <w:styleLink w:val="WW8Num17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"/>
      <w:lvlJc w:val="left"/>
      <w:pPr>
        <w:ind w:left="1080" w:hanging="360"/>
      </w:pPr>
      <w:rPr>
        <w:rFonts w:ascii="Wingdings" w:hAnsi="Wingdings" w:cs="Wingdings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" w15:restartNumberingAfterBreak="0">
    <w:nsid w:val="17235A63"/>
    <w:multiLevelType w:val="multilevel"/>
    <w:tmpl w:val="C7708E22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186E68FA"/>
    <w:multiLevelType w:val="multilevel"/>
    <w:tmpl w:val="1DA6C8CA"/>
    <w:styleLink w:val="WW8Num6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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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"/>
      <w:lvlJc w:val="left"/>
      <w:pPr>
        <w:ind w:left="2160" w:hanging="36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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"/>
      <w:lvlJc w:val="left"/>
      <w:pPr>
        <w:ind w:left="3240" w:hanging="36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10" w15:restartNumberingAfterBreak="0">
    <w:nsid w:val="1A765940"/>
    <w:multiLevelType w:val="multilevel"/>
    <w:tmpl w:val="45509B18"/>
    <w:styleLink w:val="WW8Num19"/>
    <w:lvl w:ilvl="0">
      <w:numFmt w:val="bullet"/>
      <w:lvlText w:val="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11" w15:restartNumberingAfterBreak="0">
    <w:nsid w:val="1DDF23EE"/>
    <w:multiLevelType w:val="multilevel"/>
    <w:tmpl w:val="50B478E8"/>
    <w:styleLink w:val="WW8Num1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2" w15:restartNumberingAfterBreak="0">
    <w:nsid w:val="247E23A5"/>
    <w:multiLevelType w:val="multilevel"/>
    <w:tmpl w:val="6576BE34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CB2732B"/>
    <w:multiLevelType w:val="multilevel"/>
    <w:tmpl w:val="20CCBDB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lowerLetter"/>
      <w:suff w:val="nothing"/>
      <w:lvlText w:val=")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4" w15:restartNumberingAfterBreak="0">
    <w:nsid w:val="2F1D2DE2"/>
    <w:multiLevelType w:val="multilevel"/>
    <w:tmpl w:val="04AA6B6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3005686D"/>
    <w:multiLevelType w:val="multilevel"/>
    <w:tmpl w:val="BD142572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08F1903"/>
    <w:multiLevelType w:val="multilevel"/>
    <w:tmpl w:val="6576ECA2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320A68FD"/>
    <w:multiLevelType w:val="multilevel"/>
    <w:tmpl w:val="FF2012DE"/>
    <w:styleLink w:val="WW8Num10"/>
    <w:lvl w:ilvl="0">
      <w:numFmt w:val="bullet"/>
      <w:lvlText w:val=""/>
      <w:lvlJc w:val="left"/>
      <w:pPr>
        <w:ind w:left="720" w:hanging="360"/>
      </w:pPr>
      <w:rPr>
        <w:rFonts w:ascii="Wingdings" w:hAnsi="Wingdings" w:cs="OpenSymbol, 'Arial Unicode MS'"/>
        <w:color w:val="auto"/>
        <w:sz w:val="24"/>
        <w:szCs w:val="24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OpenSymbol, 'Arial Unicode MS'"/>
        <w:color w:val="auto"/>
        <w:sz w:val="24"/>
        <w:szCs w:val="24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OpenSymbol, 'Arial Unicode MS'"/>
        <w:color w:val="auto"/>
        <w:sz w:val="24"/>
        <w:szCs w:val="24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OpenSymbol, 'Arial Unicode MS'"/>
        <w:color w:val="auto"/>
        <w:sz w:val="24"/>
        <w:szCs w:val="24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OpenSymbol, 'Arial Unicode MS'"/>
        <w:color w:val="auto"/>
        <w:sz w:val="24"/>
        <w:szCs w:val="24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OpenSymbol, 'Arial Unicode MS'"/>
        <w:color w:val="auto"/>
        <w:sz w:val="24"/>
        <w:szCs w:val="24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OpenSymbol, 'Arial Unicode MS'"/>
        <w:color w:val="auto"/>
        <w:sz w:val="24"/>
        <w:szCs w:val="24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OpenSymbol, 'Arial Unicode MS'"/>
        <w:color w:val="auto"/>
        <w:sz w:val="24"/>
        <w:szCs w:val="24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OpenSymbol, 'Arial Unicode MS'"/>
        <w:color w:val="auto"/>
        <w:sz w:val="24"/>
        <w:szCs w:val="24"/>
      </w:rPr>
    </w:lvl>
  </w:abstractNum>
  <w:abstractNum w:abstractNumId="18" w15:restartNumberingAfterBreak="0">
    <w:nsid w:val="362E404E"/>
    <w:multiLevelType w:val="multilevel"/>
    <w:tmpl w:val="43741FAA"/>
    <w:styleLink w:val="WW8Num15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b w:val="0"/>
        <w:bCs w:val="0"/>
        <w:kern w:val="3"/>
        <w:sz w:val="24"/>
        <w:szCs w:val="24"/>
        <w:lang w:val="it-IT" w:eastAsia="zh-CN" w:bidi="hi-I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9" w15:restartNumberingAfterBreak="0">
    <w:nsid w:val="36D67A9F"/>
    <w:multiLevelType w:val="multilevel"/>
    <w:tmpl w:val="E5C09828"/>
    <w:styleLink w:val="WW8Num4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20" w15:restartNumberingAfterBreak="0">
    <w:nsid w:val="3A396A8F"/>
    <w:multiLevelType w:val="multilevel"/>
    <w:tmpl w:val="570270C8"/>
    <w:styleLink w:val="WWOutlineListStyle15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lowerLetter"/>
      <w:pStyle w:val="Textbody"/>
      <w:lvlText w:val=")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3D702569"/>
    <w:multiLevelType w:val="multilevel"/>
    <w:tmpl w:val="BBBEFE1A"/>
    <w:styleLink w:val="WW8Num2"/>
    <w:lvl w:ilvl="0">
      <w:start w:val="1"/>
      <w:numFmt w:val="decimal"/>
      <w:lvlText w:val=" %1 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 %1.%2 "/>
      <w:lvlJc w:val="left"/>
      <w:pPr>
        <w:ind w:left="1080" w:hanging="360"/>
      </w:pPr>
      <w:rPr>
        <w:rFonts w:ascii="Times New Roman" w:hAnsi="Times New Roman" w:cs="Times New Roman"/>
        <w:b/>
        <w:bCs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22" w15:restartNumberingAfterBreak="0">
    <w:nsid w:val="3EA87785"/>
    <w:multiLevelType w:val="multilevel"/>
    <w:tmpl w:val="EC868DC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40A8277E"/>
    <w:multiLevelType w:val="multilevel"/>
    <w:tmpl w:val="AA368A3E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441D5099"/>
    <w:multiLevelType w:val="multilevel"/>
    <w:tmpl w:val="97CA9648"/>
    <w:styleLink w:val="WW8Num20"/>
    <w:lvl w:ilvl="0">
      <w:numFmt w:val="bullet"/>
      <w:lvlText w:val=""/>
      <w:lvlJc w:val="left"/>
      <w:pPr>
        <w:ind w:left="720" w:hanging="360"/>
      </w:pPr>
      <w:rPr>
        <w:rFonts w:ascii="Wingdings" w:hAnsi="Wingdings" w:cs="Wingdings"/>
        <w:color w:val="auto"/>
        <w:sz w:val="24"/>
        <w:szCs w:val="24"/>
      </w:rPr>
    </w:lvl>
    <w:lvl w:ilvl="1">
      <w:numFmt w:val="bullet"/>
      <w:lvlText w:val=""/>
      <w:lvlJc w:val="left"/>
      <w:pPr>
        <w:ind w:left="1080" w:hanging="360"/>
      </w:pPr>
      <w:rPr>
        <w:rFonts w:ascii="Wingdings" w:hAnsi="Wingdings" w:cs="Wingdings"/>
        <w:color w:val="auto"/>
        <w:sz w:val="24"/>
        <w:szCs w:val="24"/>
      </w:rPr>
    </w:lvl>
    <w:lvl w:ilvl="2">
      <w:numFmt w:val="bullet"/>
      <w:lvlText w:val=""/>
      <w:lvlJc w:val="left"/>
      <w:pPr>
        <w:ind w:left="1440" w:hanging="360"/>
      </w:pPr>
      <w:rPr>
        <w:rFonts w:ascii="Wingdings" w:hAnsi="Wingdings" w:cs="Wingdings"/>
        <w:color w:val="auto"/>
        <w:sz w:val="24"/>
        <w:szCs w:val="24"/>
      </w:rPr>
    </w:lvl>
    <w:lvl w:ilvl="3">
      <w:numFmt w:val="bullet"/>
      <w:lvlText w:val=""/>
      <w:lvlJc w:val="left"/>
      <w:pPr>
        <w:ind w:left="1800" w:hanging="360"/>
      </w:pPr>
      <w:rPr>
        <w:rFonts w:ascii="Wingdings" w:hAnsi="Wingdings" w:cs="Wingdings"/>
        <w:color w:val="auto"/>
        <w:sz w:val="24"/>
        <w:szCs w:val="24"/>
      </w:rPr>
    </w:lvl>
    <w:lvl w:ilvl="4">
      <w:numFmt w:val="bullet"/>
      <w:lvlText w:val=""/>
      <w:lvlJc w:val="left"/>
      <w:pPr>
        <w:ind w:left="2160" w:hanging="360"/>
      </w:pPr>
      <w:rPr>
        <w:rFonts w:ascii="Wingdings" w:hAnsi="Wingdings" w:cs="Wingdings"/>
        <w:color w:val="auto"/>
        <w:sz w:val="24"/>
        <w:szCs w:val="24"/>
      </w:rPr>
    </w:lvl>
    <w:lvl w:ilvl="5">
      <w:numFmt w:val="bullet"/>
      <w:lvlText w:val=""/>
      <w:lvlJc w:val="left"/>
      <w:pPr>
        <w:ind w:left="2520" w:hanging="360"/>
      </w:pPr>
      <w:rPr>
        <w:rFonts w:ascii="Wingdings" w:hAnsi="Wingdings" w:cs="Wingdings"/>
        <w:color w:val="auto"/>
        <w:sz w:val="24"/>
        <w:szCs w:val="24"/>
      </w:rPr>
    </w:lvl>
    <w:lvl w:ilvl="6">
      <w:numFmt w:val="bullet"/>
      <w:lvlText w:val=""/>
      <w:lvlJc w:val="left"/>
      <w:pPr>
        <w:ind w:left="2880" w:hanging="360"/>
      </w:pPr>
      <w:rPr>
        <w:rFonts w:ascii="Wingdings" w:hAnsi="Wingdings" w:cs="Wingdings"/>
        <w:color w:val="auto"/>
        <w:sz w:val="24"/>
        <w:szCs w:val="24"/>
      </w:rPr>
    </w:lvl>
    <w:lvl w:ilvl="7">
      <w:numFmt w:val="bullet"/>
      <w:lvlText w:val=""/>
      <w:lvlJc w:val="left"/>
      <w:pPr>
        <w:ind w:left="3240" w:hanging="360"/>
      </w:pPr>
      <w:rPr>
        <w:rFonts w:ascii="Wingdings" w:hAnsi="Wingdings" w:cs="Wingdings"/>
        <w:color w:val="auto"/>
        <w:sz w:val="24"/>
        <w:szCs w:val="24"/>
      </w:rPr>
    </w:lvl>
    <w:lvl w:ilvl="8">
      <w:numFmt w:val="bullet"/>
      <w:lvlText w:val=""/>
      <w:lvlJc w:val="left"/>
      <w:pPr>
        <w:ind w:left="360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25" w15:restartNumberingAfterBreak="0">
    <w:nsid w:val="4C3134C1"/>
    <w:multiLevelType w:val="multilevel"/>
    <w:tmpl w:val="01A8D792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6" w15:restartNumberingAfterBreak="0">
    <w:nsid w:val="4C7D1B41"/>
    <w:multiLevelType w:val="multilevel"/>
    <w:tmpl w:val="9600EA1A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7" w15:restartNumberingAfterBreak="0">
    <w:nsid w:val="51AF7680"/>
    <w:multiLevelType w:val="multilevel"/>
    <w:tmpl w:val="D5268DE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53800F83"/>
    <w:multiLevelType w:val="multilevel"/>
    <w:tmpl w:val="6DD60AC6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29" w15:restartNumberingAfterBreak="0">
    <w:nsid w:val="5980411F"/>
    <w:multiLevelType w:val="multilevel"/>
    <w:tmpl w:val="EF1CA4A4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0403601"/>
    <w:multiLevelType w:val="multilevel"/>
    <w:tmpl w:val="F446D90C"/>
    <w:styleLink w:val="WW8Num5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31" w15:restartNumberingAfterBreak="0">
    <w:nsid w:val="6752111F"/>
    <w:multiLevelType w:val="multilevel"/>
    <w:tmpl w:val="01F09EFA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68664BAD"/>
    <w:multiLevelType w:val="multilevel"/>
    <w:tmpl w:val="DBA49B3A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6A1F7CD9"/>
    <w:multiLevelType w:val="multilevel"/>
    <w:tmpl w:val="C630B2AA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6B7D56C8"/>
    <w:multiLevelType w:val="multilevel"/>
    <w:tmpl w:val="F432CF9E"/>
    <w:styleLink w:val="WW8Num3"/>
    <w:lvl w:ilvl="0">
      <w:numFmt w:val="bullet"/>
      <w:lvlText w:val="➢"/>
      <w:lvlJc w:val="left"/>
      <w:pPr>
        <w:ind w:left="720" w:hanging="357"/>
      </w:pPr>
      <w:rPr>
        <w:rFonts w:ascii="OpenSymbol" w:eastAsia="OpenSymbol" w:hAnsi="OpenSymbol" w:cs="OpenSymbo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5" w15:restartNumberingAfterBreak="0">
    <w:nsid w:val="6D66255E"/>
    <w:multiLevelType w:val="multilevel"/>
    <w:tmpl w:val="A33E2C46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6E9E0036"/>
    <w:multiLevelType w:val="multilevel"/>
    <w:tmpl w:val="704EEB94"/>
    <w:styleLink w:val="WW8Num1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Roman"/>
      <w:lvlText w:val="%1.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7" w15:restartNumberingAfterBreak="0">
    <w:nsid w:val="75A05C69"/>
    <w:multiLevelType w:val="multilevel"/>
    <w:tmpl w:val="D6DA14DE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5"/>
  </w:num>
  <w:num w:numId="3">
    <w:abstractNumId w:val="15"/>
  </w:num>
  <w:num w:numId="4">
    <w:abstractNumId w:val="37"/>
  </w:num>
  <w:num w:numId="5">
    <w:abstractNumId w:val="1"/>
  </w:num>
  <w:num w:numId="6">
    <w:abstractNumId w:val="12"/>
  </w:num>
  <w:num w:numId="7">
    <w:abstractNumId w:val="14"/>
  </w:num>
  <w:num w:numId="8">
    <w:abstractNumId w:val="33"/>
  </w:num>
  <w:num w:numId="9">
    <w:abstractNumId w:val="32"/>
  </w:num>
  <w:num w:numId="10">
    <w:abstractNumId w:val="27"/>
  </w:num>
  <w:num w:numId="11">
    <w:abstractNumId w:val="16"/>
  </w:num>
  <w:num w:numId="12">
    <w:abstractNumId w:val="29"/>
  </w:num>
  <w:num w:numId="13">
    <w:abstractNumId w:val="35"/>
  </w:num>
  <w:num w:numId="14">
    <w:abstractNumId w:val="31"/>
  </w:num>
  <w:num w:numId="15">
    <w:abstractNumId w:val="23"/>
  </w:num>
  <w:num w:numId="16">
    <w:abstractNumId w:val="3"/>
  </w:num>
  <w:num w:numId="17">
    <w:abstractNumId w:val="22"/>
  </w:num>
  <w:num w:numId="18">
    <w:abstractNumId w:val="13"/>
  </w:num>
  <w:num w:numId="19">
    <w:abstractNumId w:val="21"/>
  </w:num>
  <w:num w:numId="20">
    <w:abstractNumId w:val="34"/>
  </w:num>
  <w:num w:numId="21">
    <w:abstractNumId w:val="19"/>
  </w:num>
  <w:num w:numId="22">
    <w:abstractNumId w:val="30"/>
  </w:num>
  <w:num w:numId="23">
    <w:abstractNumId w:val="9"/>
  </w:num>
  <w:num w:numId="24">
    <w:abstractNumId w:val="28"/>
  </w:num>
  <w:num w:numId="25">
    <w:abstractNumId w:val="25"/>
  </w:num>
  <w:num w:numId="26">
    <w:abstractNumId w:val="26"/>
  </w:num>
  <w:num w:numId="27">
    <w:abstractNumId w:val="17"/>
  </w:num>
  <w:num w:numId="28">
    <w:abstractNumId w:val="11"/>
  </w:num>
  <w:num w:numId="29">
    <w:abstractNumId w:val="36"/>
  </w:num>
  <w:num w:numId="30">
    <w:abstractNumId w:val="8"/>
  </w:num>
  <w:num w:numId="31">
    <w:abstractNumId w:val="2"/>
  </w:num>
  <w:num w:numId="32">
    <w:abstractNumId w:val="18"/>
  </w:num>
  <w:num w:numId="33">
    <w:abstractNumId w:val="0"/>
  </w:num>
  <w:num w:numId="34">
    <w:abstractNumId w:val="7"/>
  </w:num>
  <w:num w:numId="35">
    <w:abstractNumId w:val="6"/>
  </w:num>
  <w:num w:numId="36">
    <w:abstractNumId w:val="10"/>
  </w:num>
  <w:num w:numId="37">
    <w:abstractNumId w:val="2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C22"/>
    <w:rsid w:val="001D0AF6"/>
    <w:rsid w:val="004067E9"/>
    <w:rsid w:val="006651B9"/>
    <w:rsid w:val="00B4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B2B6"/>
  <w15:docId w15:val="{F587CCB7-3AE2-4BCE-9D26-354AE7C3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rFonts w:ascii="Times New Roman" w:eastAsia="Times New Roman" w:hAnsi="Times New Roman" w:cs="Times New Roman"/>
      <w:b/>
      <w:bCs/>
      <w:sz w:val="24"/>
      <w:szCs w:val="36"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spacing w:before="200" w:after="0"/>
      <w:outlineLvl w:val="1"/>
    </w:pPr>
    <w:rPr>
      <w:rFonts w:ascii="Times New Roman" w:eastAsia="Times New Roman" w:hAnsi="Times New Roman" w:cs="Times New Roman"/>
      <w:b/>
      <w:bCs/>
      <w:sz w:val="24"/>
      <w:szCs w:val="32"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spacing w:before="140" w:after="0"/>
      <w:outlineLvl w:val="2"/>
    </w:pPr>
    <w:rPr>
      <w:rFonts w:ascii="Times New Roman" w:eastAsia="Times New Roman" w:hAnsi="Times New Roman" w:cs="Times New Roman"/>
      <w:b/>
      <w:bCs/>
      <w:sz w:val="21"/>
    </w:rPr>
  </w:style>
  <w:style w:type="paragraph" w:styleId="Titolo4">
    <w:name w:val="heading 4"/>
    <w:basedOn w:val="Heading"/>
    <w:next w:val="Textbody"/>
    <w:uiPriority w:val="9"/>
    <w:semiHidden/>
    <w:unhideWhenUsed/>
    <w:qFormat/>
    <w:pPr>
      <w:spacing w:before="120" w:after="0"/>
      <w:outlineLvl w:val="3"/>
    </w:pPr>
    <w:rPr>
      <w:b/>
      <w:bCs/>
      <w:i/>
      <w:iCs/>
      <w:sz w:val="27"/>
      <w:szCs w:val="27"/>
    </w:rPr>
  </w:style>
  <w:style w:type="paragraph" w:styleId="Titolo5">
    <w:name w:val="heading 5"/>
    <w:basedOn w:val="Standard"/>
    <w:next w:val="Textbody"/>
    <w:uiPriority w:val="9"/>
    <w:semiHidden/>
    <w:unhideWhenUsed/>
    <w:qFormat/>
    <w:pPr>
      <w:spacing w:before="100" w:after="100"/>
      <w:textAlignment w:val="auto"/>
      <w:outlineLvl w:val="4"/>
    </w:pPr>
    <w:rPr>
      <w:rFonts w:ascii="Arial Unicode MS" w:eastAsia="Arial Unicode MS" w:hAnsi="Arial Unicode MS" w:cs="Arial Unicode MS"/>
      <w:b/>
      <w:bCs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textAlignment w:val="auto"/>
      <w:outlineLvl w:val="5"/>
    </w:pPr>
    <w:rPr>
      <w:rFonts w:ascii="Arial" w:eastAsia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15">
    <w:name w:val="WW_OutlineListStyle_15"/>
    <w:basedOn w:val="Nessunelenco"/>
    <w:pPr>
      <w:numPr>
        <w:numId w:val="1"/>
      </w:numPr>
    </w:pPr>
  </w:style>
  <w:style w:type="paragraph" w:customStyle="1" w:styleId="Textbody">
    <w:name w:val="Text body"/>
    <w:basedOn w:val="Titolo3"/>
    <w:next w:val="Standard"/>
    <w:autoRedefine/>
    <w:pPr>
      <w:numPr>
        <w:ilvl w:val="2"/>
        <w:numId w:val="1"/>
      </w:numPr>
      <w:spacing w:before="0" w:after="140" w:line="288" w:lineRule="auto"/>
      <w:jc w:val="both"/>
    </w:pPr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Endnote">
    <w:name w:val="Endnote"/>
    <w:basedOn w:val="Standard"/>
    <w:pPr>
      <w:suppressLineNumbers/>
    </w:pPr>
    <w:rPr>
      <w:sz w:val="20"/>
      <w:szCs w:val="20"/>
    </w:rPr>
  </w:style>
  <w:style w:type="paragraph" w:customStyle="1" w:styleId="Footnote">
    <w:name w:val="Footnote"/>
    <w:basedOn w:val="Standard"/>
    <w:pPr>
      <w:numPr>
        <w:numId w:val="31"/>
      </w:numPr>
      <w:suppressLineNumbers/>
    </w:pPr>
    <w:rPr>
      <w:rFonts w:eastAsia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itoloindice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Standard"/>
    <w:pPr>
      <w:jc w:val="both"/>
    </w:pPr>
    <w:rPr>
      <w:rFonts w:ascii="Arial" w:eastAsia="Arial" w:hAnsi="Arial" w:cs="Arial"/>
      <w:b/>
      <w:bCs/>
    </w:rPr>
  </w:style>
  <w:style w:type="paragraph" w:customStyle="1" w:styleId="grassetto">
    <w:name w:val="grassetto"/>
    <w:basedOn w:val="Standard"/>
    <w:pPr>
      <w:spacing w:before="100" w:after="100"/>
      <w:textAlignment w:val="auto"/>
    </w:pPr>
    <w:rPr>
      <w:rFonts w:ascii="Arial Unicode MS" w:eastAsia="Arial Unicode MS" w:hAnsi="Arial Unicode MS" w:cs="Arial Unicode MS"/>
    </w:rPr>
  </w:style>
  <w:style w:type="paragraph" w:styleId="Corpodeltesto3">
    <w:name w:val="Body Text 3"/>
    <w:basedOn w:val="Standard"/>
    <w:rPr>
      <w:rFonts w:ascii="Arial" w:eastAsia="Arial" w:hAnsi="Arial" w:cs="Arial"/>
      <w:b/>
      <w:bCs/>
      <w:sz w:val="22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rFonts w:ascii="Arial Unicode MS" w:eastAsia="Arial Unicode MS" w:hAnsi="Arial Unicode MS" w:cs="Arial Unicode MS"/>
    </w:rPr>
  </w:style>
  <w:style w:type="paragraph" w:customStyle="1" w:styleId="provvr0">
    <w:name w:val="provv_r0"/>
    <w:basedOn w:val="Standard"/>
    <w:pPr>
      <w:spacing w:before="100" w:after="100"/>
      <w:textAlignment w:val="auto"/>
    </w:pPr>
    <w:rPr>
      <w:rFonts w:ascii="Arial Unicode MS" w:eastAsia="Arial Unicode MS" w:hAnsi="Arial Unicode MS" w:cs="Arial Unicode MS"/>
    </w:rPr>
  </w:style>
  <w:style w:type="paragraph" w:customStyle="1" w:styleId="provvr1">
    <w:name w:val="provv_r1"/>
    <w:basedOn w:val="Standard"/>
    <w:pPr>
      <w:spacing w:before="100" w:after="100"/>
      <w:textAlignment w:val="auto"/>
    </w:pPr>
    <w:rPr>
      <w:rFonts w:ascii="Arial Unicode MS" w:eastAsia="Arial Unicode MS" w:hAnsi="Arial Unicode MS" w:cs="Arial Unicode MS"/>
    </w:rPr>
  </w:style>
  <w:style w:type="paragraph" w:styleId="NormaleWeb">
    <w:name w:val="Normal (Web)"/>
    <w:basedOn w:val="Standard"/>
    <w:pPr>
      <w:spacing w:before="100" w:after="100"/>
      <w:textAlignment w:val="auto"/>
    </w:pPr>
    <w:rPr>
      <w:rFonts w:ascii="Arial Unicode MS" w:eastAsia="Arial Unicode MS" w:hAnsi="Arial Unicode MS" w:cs="Arial Unicode MS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Contents4">
    <w:name w:val="Contents 4"/>
    <w:basedOn w:val="Index"/>
    <w:pPr>
      <w:tabs>
        <w:tab w:val="right" w:leader="dot" w:pos="9645"/>
      </w:tabs>
      <w:ind w:left="849"/>
    </w:pPr>
  </w:style>
  <w:style w:type="paragraph" w:customStyle="1" w:styleId="Framecontents">
    <w:name w:val="Frame contents"/>
    <w:basedOn w:val="Standard"/>
  </w:style>
  <w:style w:type="paragraph" w:styleId="Paragrafoelenco">
    <w:name w:val="List Paragraph"/>
    <w:basedOn w:val="Normale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stocommento">
    <w:name w:val="annotation text"/>
    <w:basedOn w:val="Normale"/>
    <w:rPr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notadichiusura">
    <w:name w:val="endnote text"/>
    <w:basedOn w:val="Normale"/>
    <w:rPr>
      <w:sz w:val="20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0">
    <w:name w:val="WW8Num9z0"/>
    <w:rPr>
      <w:rFonts w:ascii="Symbol" w:eastAsia="Symbol" w:hAnsi="Symbol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0">
    <w:name w:val="WW8Num10z0"/>
    <w:rPr>
      <w:rFonts w:ascii="Wingdings" w:eastAsia="Wingdings" w:hAnsi="Wingdings" w:cs="OpenSymbol, 'Arial Unicode MS'"/>
      <w:color w:val="auto"/>
      <w:sz w:val="24"/>
      <w:szCs w:val="24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SimSun" w:hAnsi="Times New Roman" w:cs="Times New Roman"/>
      <w:b/>
      <w:bCs/>
      <w:i/>
      <w:iCs/>
      <w:kern w:val="3"/>
      <w:sz w:val="20"/>
      <w:szCs w:val="20"/>
      <w:lang w:val="it-IT" w:eastAsia="zh-CN" w:bidi="hi-I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SimSun" w:hAnsi="Times New Roman" w:cs="Times New Roman"/>
      <w:b w:val="0"/>
      <w:bCs w:val="0"/>
      <w:kern w:val="3"/>
      <w:sz w:val="24"/>
      <w:szCs w:val="24"/>
      <w:lang w:val="it-IT" w:eastAsia="zh-CN" w:bidi="hi-I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Pr>
      <w:rFonts w:ascii="Wingdings" w:eastAsia="Wingdings" w:hAnsi="Wingdings" w:cs="Wingdings"/>
      <w:color w:val="auto"/>
      <w:sz w:val="24"/>
      <w:szCs w:val="24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SimSun" w:hAnsi="Times New Roman" w:cs="Times New Roman"/>
      <w:b w:val="0"/>
      <w:bCs w:val="0"/>
      <w:kern w:val="3"/>
      <w:sz w:val="24"/>
      <w:szCs w:val="24"/>
      <w:lang w:val="it-IT" w:eastAsia="zh-CN" w:bidi="hi-IN"/>
    </w:rPr>
  </w:style>
  <w:style w:type="character" w:customStyle="1" w:styleId="WW8Num18z1">
    <w:name w:val="WW8Num18z1"/>
    <w:rPr>
      <w:rFonts w:ascii="Wingdings" w:eastAsia="Wingdings" w:hAnsi="Wingdings" w:cs="Wingding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eastAsia="Wingdings" w:hAnsi="Wingdings" w:cs="Wingdings"/>
    </w:rPr>
  </w:style>
  <w:style w:type="character" w:customStyle="1" w:styleId="WW8Num20z0">
    <w:name w:val="WW8Num20z0"/>
    <w:rPr>
      <w:rFonts w:ascii="Wingdings" w:eastAsia="Wingdings" w:hAnsi="Wingdings" w:cs="Wingdings"/>
      <w:color w:val="auto"/>
      <w:sz w:val="24"/>
      <w:szCs w:val="24"/>
    </w:rPr>
  </w:style>
  <w:style w:type="character" w:customStyle="1" w:styleId="WW8Num2z1">
    <w:name w:val="WW8Num2z1"/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5z1">
    <w:name w:val="WW8Num5z1"/>
    <w:rPr>
      <w:rFonts w:ascii="Times New Roman" w:eastAsia="Times New Roman" w:hAnsi="Times New Roman" w:cs="Times New Roman"/>
      <w:b w:val="0"/>
      <w:i w:val="0"/>
      <w:sz w:val="24"/>
      <w:szCs w:val="24"/>
      <w:shd w:val="clear" w:color="auto" w:fill="FFFF0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-Caratterenotaapidipagina">
    <w:name w:val="WW-Carattere nota a piè di pagina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St1z0">
    <w:name w:val="WW8NumSt1z0"/>
    <w:rPr>
      <w:rFonts w:ascii="Symbol" w:eastAsia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StrongEmphasis">
    <w:name w:val="Strong Emphasis"/>
    <w:basedOn w:val="Caratterepredefinitoparagrafo"/>
    <w:rPr>
      <w:b/>
      <w:bCs/>
    </w:rPr>
  </w:style>
  <w:style w:type="character" w:customStyle="1" w:styleId="riferimento">
    <w:name w:val="riferimento"/>
    <w:basedOn w:val="Caratterepredefinitoparagrafo"/>
  </w:style>
  <w:style w:type="character" w:customStyle="1" w:styleId="provvsottotitart">
    <w:name w:val="provv_sottotitart"/>
    <w:basedOn w:val="Caratterepredefinitoparagrafo"/>
  </w:style>
  <w:style w:type="character" w:customStyle="1" w:styleId="provvnumart">
    <w:name w:val="provv_numart"/>
    <w:basedOn w:val="Caratterepredefinitoparagrafo"/>
  </w:style>
  <w:style w:type="character" w:customStyle="1" w:styleId="provvrubrica">
    <w:name w:val="provv_rubrica"/>
    <w:basedOn w:val="Caratterepredefinitoparagrafo"/>
  </w:style>
  <w:style w:type="character" w:customStyle="1" w:styleId="provvvigore">
    <w:name w:val="provv_vigore"/>
    <w:basedOn w:val="Caratterepredefinitoparagrafo"/>
  </w:style>
  <w:style w:type="character" w:customStyle="1" w:styleId="provvnumcomma">
    <w:name w:val="provv_numcomma"/>
    <w:basedOn w:val="Caratterepredefinitoparagrafo"/>
  </w:style>
  <w:style w:type="character" w:customStyle="1" w:styleId="VisitedInternetLink">
    <w:name w:val="Visited Internet Link"/>
    <w:basedOn w:val="Caratterepredefinitoparagrafo"/>
    <w:rPr>
      <w:color w:val="800080"/>
      <w:u w:val="single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18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rPr>
      <w:sz w:val="20"/>
      <w:szCs w:val="18"/>
    </w:rPr>
  </w:style>
  <w:style w:type="character" w:styleId="Rimandonotadichiusura">
    <w:name w:val="endnote reference"/>
    <w:basedOn w:val="Carpredefinitoparagrafo"/>
    <w:rPr>
      <w:position w:val="0"/>
      <w:vertAlign w:val="superscript"/>
    </w:rPr>
  </w:style>
  <w:style w:type="numbering" w:customStyle="1" w:styleId="WWOutlineListStyle14">
    <w:name w:val="WW_OutlineListStyle_14"/>
    <w:basedOn w:val="Nessunelenco"/>
    <w:pPr>
      <w:numPr>
        <w:numId w:val="2"/>
      </w:numPr>
    </w:pPr>
  </w:style>
  <w:style w:type="numbering" w:customStyle="1" w:styleId="WWOutlineListStyle13">
    <w:name w:val="WW_OutlineListStyle_13"/>
    <w:basedOn w:val="Nessunelenco"/>
    <w:pPr>
      <w:numPr>
        <w:numId w:val="3"/>
      </w:numPr>
    </w:pPr>
  </w:style>
  <w:style w:type="numbering" w:customStyle="1" w:styleId="WWOutlineListStyle12">
    <w:name w:val="WW_OutlineListStyle_12"/>
    <w:basedOn w:val="Nessunelenco"/>
    <w:pPr>
      <w:numPr>
        <w:numId w:val="4"/>
      </w:numPr>
    </w:pPr>
  </w:style>
  <w:style w:type="numbering" w:customStyle="1" w:styleId="Outline">
    <w:name w:val="Outline"/>
    <w:basedOn w:val="Nessunelenco"/>
    <w:pPr>
      <w:numPr>
        <w:numId w:val="5"/>
      </w:numPr>
    </w:pPr>
  </w:style>
  <w:style w:type="numbering" w:customStyle="1" w:styleId="WWOutlineListStyle11">
    <w:name w:val="WW_OutlineListStyle_11"/>
    <w:basedOn w:val="Nessunelenco"/>
    <w:pPr>
      <w:numPr>
        <w:numId w:val="6"/>
      </w:numPr>
    </w:pPr>
  </w:style>
  <w:style w:type="numbering" w:customStyle="1" w:styleId="WWOutlineListStyle10">
    <w:name w:val="WW_OutlineListStyle_10"/>
    <w:basedOn w:val="Nessunelenco"/>
    <w:pPr>
      <w:numPr>
        <w:numId w:val="7"/>
      </w:numPr>
    </w:pPr>
  </w:style>
  <w:style w:type="numbering" w:customStyle="1" w:styleId="WWOutlineListStyle9">
    <w:name w:val="WW_OutlineListStyle_9"/>
    <w:basedOn w:val="Nessunelenco"/>
    <w:pPr>
      <w:numPr>
        <w:numId w:val="8"/>
      </w:numPr>
    </w:pPr>
  </w:style>
  <w:style w:type="numbering" w:customStyle="1" w:styleId="WWOutlineListStyle8">
    <w:name w:val="WW_OutlineListStyle_8"/>
    <w:basedOn w:val="Nessunelenco"/>
    <w:pPr>
      <w:numPr>
        <w:numId w:val="9"/>
      </w:numPr>
    </w:pPr>
  </w:style>
  <w:style w:type="numbering" w:customStyle="1" w:styleId="WWOutlineListStyle7">
    <w:name w:val="WW_OutlineListStyle_7"/>
    <w:basedOn w:val="Nessunelenco"/>
    <w:pPr>
      <w:numPr>
        <w:numId w:val="10"/>
      </w:numPr>
    </w:pPr>
  </w:style>
  <w:style w:type="numbering" w:customStyle="1" w:styleId="WWOutlineListStyle6">
    <w:name w:val="WW_OutlineListStyle_6"/>
    <w:basedOn w:val="Nessunelenco"/>
    <w:pPr>
      <w:numPr>
        <w:numId w:val="11"/>
      </w:numPr>
    </w:pPr>
  </w:style>
  <w:style w:type="numbering" w:customStyle="1" w:styleId="WWOutlineListStyle5">
    <w:name w:val="WW_OutlineListStyle_5"/>
    <w:basedOn w:val="Nessunelenco"/>
    <w:pPr>
      <w:numPr>
        <w:numId w:val="12"/>
      </w:numPr>
    </w:pPr>
  </w:style>
  <w:style w:type="numbering" w:customStyle="1" w:styleId="WWOutlineListStyle4">
    <w:name w:val="WW_OutlineListStyle_4"/>
    <w:basedOn w:val="Nessunelenco"/>
    <w:pPr>
      <w:numPr>
        <w:numId w:val="13"/>
      </w:numPr>
    </w:pPr>
  </w:style>
  <w:style w:type="numbering" w:customStyle="1" w:styleId="WWOutlineListStyle3">
    <w:name w:val="WW_OutlineListStyle_3"/>
    <w:basedOn w:val="Nessunelenco"/>
    <w:pPr>
      <w:numPr>
        <w:numId w:val="14"/>
      </w:numPr>
    </w:pPr>
  </w:style>
  <w:style w:type="numbering" w:customStyle="1" w:styleId="WWOutlineListStyle2">
    <w:name w:val="WW_OutlineListStyle_2"/>
    <w:basedOn w:val="Nessunelenco"/>
    <w:pPr>
      <w:numPr>
        <w:numId w:val="15"/>
      </w:numPr>
    </w:pPr>
  </w:style>
  <w:style w:type="numbering" w:customStyle="1" w:styleId="WWOutlineListStyle1">
    <w:name w:val="WW_OutlineListStyle_1"/>
    <w:basedOn w:val="Nessunelenco"/>
    <w:pPr>
      <w:numPr>
        <w:numId w:val="16"/>
      </w:numPr>
    </w:pPr>
  </w:style>
  <w:style w:type="numbering" w:customStyle="1" w:styleId="WWOutlineListStyle">
    <w:name w:val="WW_OutlineListStyle"/>
    <w:basedOn w:val="Nessunelenco"/>
    <w:pPr>
      <w:numPr>
        <w:numId w:val="17"/>
      </w:numPr>
    </w:pPr>
  </w:style>
  <w:style w:type="numbering" w:customStyle="1" w:styleId="WW8Num1">
    <w:name w:val="WW8Num1"/>
    <w:basedOn w:val="Nessunelenco"/>
    <w:pPr>
      <w:numPr>
        <w:numId w:val="18"/>
      </w:numPr>
    </w:pPr>
  </w:style>
  <w:style w:type="numbering" w:customStyle="1" w:styleId="WW8Num2">
    <w:name w:val="WW8Num2"/>
    <w:basedOn w:val="Nessunelenco"/>
    <w:pPr>
      <w:numPr>
        <w:numId w:val="19"/>
      </w:numPr>
    </w:pPr>
  </w:style>
  <w:style w:type="numbering" w:customStyle="1" w:styleId="WW8Num3">
    <w:name w:val="WW8Num3"/>
    <w:basedOn w:val="Nessunelenco"/>
    <w:pPr>
      <w:numPr>
        <w:numId w:val="20"/>
      </w:numPr>
    </w:pPr>
  </w:style>
  <w:style w:type="numbering" w:customStyle="1" w:styleId="WW8Num4">
    <w:name w:val="WW8Num4"/>
    <w:basedOn w:val="Nessunelenco"/>
    <w:pPr>
      <w:numPr>
        <w:numId w:val="21"/>
      </w:numPr>
    </w:pPr>
  </w:style>
  <w:style w:type="numbering" w:customStyle="1" w:styleId="WW8Num5">
    <w:name w:val="WW8Num5"/>
    <w:basedOn w:val="Nessunelenco"/>
    <w:pPr>
      <w:numPr>
        <w:numId w:val="22"/>
      </w:numPr>
    </w:pPr>
  </w:style>
  <w:style w:type="numbering" w:customStyle="1" w:styleId="WW8Num6">
    <w:name w:val="WW8Num6"/>
    <w:basedOn w:val="Nessunelenco"/>
    <w:pPr>
      <w:numPr>
        <w:numId w:val="23"/>
      </w:numPr>
    </w:pPr>
  </w:style>
  <w:style w:type="numbering" w:customStyle="1" w:styleId="WW8Num7">
    <w:name w:val="WW8Num7"/>
    <w:basedOn w:val="Nessunelenco"/>
    <w:pPr>
      <w:numPr>
        <w:numId w:val="24"/>
      </w:numPr>
    </w:pPr>
  </w:style>
  <w:style w:type="numbering" w:customStyle="1" w:styleId="WW8Num8">
    <w:name w:val="WW8Num8"/>
    <w:basedOn w:val="Nessunelenco"/>
    <w:pPr>
      <w:numPr>
        <w:numId w:val="25"/>
      </w:numPr>
    </w:pPr>
  </w:style>
  <w:style w:type="numbering" w:customStyle="1" w:styleId="WW8Num9">
    <w:name w:val="WW8Num9"/>
    <w:basedOn w:val="Nessunelenco"/>
    <w:pPr>
      <w:numPr>
        <w:numId w:val="26"/>
      </w:numPr>
    </w:pPr>
  </w:style>
  <w:style w:type="numbering" w:customStyle="1" w:styleId="WW8Num10">
    <w:name w:val="WW8Num10"/>
    <w:basedOn w:val="Nessunelenco"/>
    <w:pPr>
      <w:numPr>
        <w:numId w:val="27"/>
      </w:numPr>
    </w:pPr>
  </w:style>
  <w:style w:type="numbering" w:customStyle="1" w:styleId="WW8Num11">
    <w:name w:val="WW8Num11"/>
    <w:basedOn w:val="Nessunelenco"/>
    <w:pPr>
      <w:numPr>
        <w:numId w:val="28"/>
      </w:numPr>
    </w:pPr>
  </w:style>
  <w:style w:type="numbering" w:customStyle="1" w:styleId="WW8Num12">
    <w:name w:val="WW8Num12"/>
    <w:basedOn w:val="Nessunelenco"/>
    <w:pPr>
      <w:numPr>
        <w:numId w:val="29"/>
      </w:numPr>
    </w:pPr>
  </w:style>
  <w:style w:type="numbering" w:customStyle="1" w:styleId="WW8Num13">
    <w:name w:val="WW8Num13"/>
    <w:basedOn w:val="Nessunelenco"/>
    <w:pPr>
      <w:numPr>
        <w:numId w:val="30"/>
      </w:numPr>
    </w:pPr>
  </w:style>
  <w:style w:type="numbering" w:customStyle="1" w:styleId="WW8Num14">
    <w:name w:val="WW8Num14"/>
    <w:basedOn w:val="Nessunelenco"/>
    <w:pPr>
      <w:numPr>
        <w:numId w:val="31"/>
      </w:numPr>
    </w:pPr>
  </w:style>
  <w:style w:type="numbering" w:customStyle="1" w:styleId="WW8Num15">
    <w:name w:val="WW8Num15"/>
    <w:basedOn w:val="Nessunelenco"/>
    <w:pPr>
      <w:numPr>
        <w:numId w:val="32"/>
      </w:numPr>
    </w:pPr>
  </w:style>
  <w:style w:type="numbering" w:customStyle="1" w:styleId="WW8Num16">
    <w:name w:val="WW8Num16"/>
    <w:basedOn w:val="Nessunelenco"/>
    <w:pPr>
      <w:numPr>
        <w:numId w:val="33"/>
      </w:numPr>
    </w:pPr>
  </w:style>
  <w:style w:type="numbering" w:customStyle="1" w:styleId="WW8Num17">
    <w:name w:val="WW8Num17"/>
    <w:basedOn w:val="Nessunelenco"/>
    <w:pPr>
      <w:numPr>
        <w:numId w:val="34"/>
      </w:numPr>
    </w:pPr>
  </w:style>
  <w:style w:type="numbering" w:customStyle="1" w:styleId="WW8Num18">
    <w:name w:val="WW8Num18"/>
    <w:basedOn w:val="Nessunelenco"/>
    <w:pPr>
      <w:numPr>
        <w:numId w:val="35"/>
      </w:numPr>
    </w:pPr>
  </w:style>
  <w:style w:type="numbering" w:customStyle="1" w:styleId="WW8Num19">
    <w:name w:val="WW8Num19"/>
    <w:basedOn w:val="Nessunelenco"/>
    <w:pPr>
      <w:numPr>
        <w:numId w:val="36"/>
      </w:numPr>
    </w:pPr>
  </w:style>
  <w:style w:type="numbering" w:customStyle="1" w:styleId="WW8Num20">
    <w:name w:val="WW8Num20"/>
    <w:basedOn w:val="Nessunelenco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938</Words>
  <Characters>5351</Characters>
  <Application>Microsoft Office Word</Application>
  <DocSecurity>0</DocSecurity>
  <Lines>44</Lines>
  <Paragraphs>12</Paragraphs>
  <ScaleCrop>false</ScaleCrop>
  <Company>Regione Autonoma Valle d'Aosta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Paderni</dc:creator>
  <cp:lastModifiedBy>Daniela GAL</cp:lastModifiedBy>
  <cp:revision>2</cp:revision>
  <dcterms:created xsi:type="dcterms:W3CDTF">2025-05-02T10:00:00Z</dcterms:created>
  <dcterms:modified xsi:type="dcterms:W3CDTF">2025-05-02T10:00:00Z</dcterms:modified>
</cp:coreProperties>
</file>